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/>
      </w:pPr>
      <w:r>
        <w:rPr>
          <w:rFonts w:ascii="Arial" w:hAnsi="Arial"/>
          <w:b/>
          <w:color w:val="218D78"/>
          <w:sz w:val="16"/>
        </w:rPr>
        <w:t>ГОСТЬ ГРУППЫ  •  МЕТОДИЧЕСКИЙ ИНСТРУМЕНТ</w:t>
      </w:r>
    </w:p>
    <w:p>
      <w:pPr>
        <w:pStyle w:val="Title"/>
        <w:keepNext/>
        <w:spacing w:before="100" w:after="180"/>
        <w:ind w:left="173" w:right="173"/>
        <w:shd w:fill="218D78"/>
      </w:pPr>
      <w:r>
        <w:rPr>
          <w:rFonts w:ascii="Arial" w:hAnsi="Arial"/>
          <w:b/>
          <w:color w:val="FFFFFF"/>
          <w:sz w:val="38"/>
        </w:rPr>
        <w:t>Чек-лист педагога-куратора (еженедельно)</w:t>
      </w:r>
    </w:p>
    <w:p>
      <w:pPr>
        <w:spacing w:after="380"/>
        <w:pBdr>
          <w:bottom w:val="single" w:sz="17" w:color="218D78"/>
        </w:pBdr>
      </w:pPr>
      <w:r>
        <w:rPr>
          <w:rFonts w:ascii="Arial" w:hAnsi="Arial"/>
          <w:b/>
          <w:color w:val="218D78"/>
          <w:sz w:val="20"/>
        </w:rPr>
        <w:t>Раздел 7. Работа с педагогами</w:t>
      </w:r>
    </w:p>
    <w:p>
      <w:pPr>
        <w:pStyle w:val="BodyCopy"/>
        <w:ind w:left="230"/>
      </w:pPr>
      <w:r>
        <w:t>☐ Проведение «Рефлексивного круга» с детьми</w:t>
      </w:r>
    </w:p>
    <w:p>
      <w:pPr>
        <w:pStyle w:val="BodyCopy"/>
        <w:ind w:left="230"/>
      </w:pPr>
      <w:r>
        <w:t>☐ Анализ записей в трекере</w:t>
      </w:r>
    </w:p>
    <w:p>
      <w:pPr>
        <w:pStyle w:val="BodyCopy"/>
        <w:ind w:left="230"/>
      </w:pPr>
      <w:r>
        <w:t>☐ Планирование взаимодействия с наставниками</w:t>
      </w:r>
    </w:p>
    <w:p>
      <w:pPr>
        <w:pStyle w:val="BodyCopy"/>
        <w:ind w:left="230"/>
      </w:pPr>
      <w:r>
        <w:t>☐ Обновление «Реестра компетенций PRO»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86274"/>
        <w:sz w:val="16"/>
      </w:rPr>
      <w:t xml:space="preserve">ГБДОУ детский сад № 38  • 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218D78"/>
        <w:sz w:val="16"/>
      </w:rPr>
      <w:t>МЕТОДИЧЕСКИЙ ПАКЕТ  /  7.3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Normal"/>
    <w:pPr>
      <w:spacing w:after="100" w:line="288" w:lineRule="auto"/>
    </w:pPr>
    <w:rPr>
      <w:rFonts w:ascii="Arial" w:hAnsi="Arial"/>
      <w:color w:val="172C41"/>
      <w:sz w:val="21"/>
    </w:rPr>
  </w:style>
  <w:style w:type="paragraph" w:customStyle="1" w:styleId="InlineHeading">
    <w:name w:val="Inline Heading"/>
    <w:basedOn w:val="BodyCopy"/>
    <w:pPr>
      <w:spacing w:before="200" w:after="100"/>
    </w:pPr>
    <w:rPr>
      <w:b/>
      <w:color w:val="218D7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